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3D" w:rsidRDefault="0073643D">
      <w:pPr>
        <w:pStyle w:val="20"/>
        <w:shd w:val="clear" w:color="auto" w:fill="auto"/>
        <w:spacing w:before="0" w:after="182" w:line="240" w:lineRule="exact"/>
        <w:jc w:val="both"/>
        <w:rPr>
          <w:rStyle w:val="25"/>
        </w:rPr>
      </w:pPr>
      <w:r>
        <w:rPr>
          <w:noProof/>
          <w:lang w:bidi="ar-SA"/>
        </w:rPr>
        <w:drawing>
          <wp:anchor distT="0" distB="0" distL="114300" distR="114300" simplePos="0" relativeHeight="377488147" behindDoc="0" locked="0" layoutInCell="1" allowOverlap="1" wp14:anchorId="25925ABB" wp14:editId="7AAF80FC">
            <wp:simplePos x="0" y="0"/>
            <wp:positionH relativeFrom="margin">
              <wp:posOffset>2295525</wp:posOffset>
            </wp:positionH>
            <wp:positionV relativeFrom="margin">
              <wp:posOffset>-123825</wp:posOffset>
            </wp:positionV>
            <wp:extent cx="1276350" cy="1276350"/>
            <wp:effectExtent l="0" t="0" r="0" b="0"/>
            <wp:wrapSquare wrapText="bothSides"/>
            <wp:docPr id="5" name="Рисунок 5" descr="C:\Users\SvetlanaArcadievna\Pictures\Уральская сеть\лого уралнко для вор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Arcadievna\Pictures\Уральская сеть\лого уралнко для вор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43D" w:rsidRDefault="0073643D">
      <w:pPr>
        <w:pStyle w:val="20"/>
        <w:shd w:val="clear" w:color="auto" w:fill="auto"/>
        <w:spacing w:before="0" w:after="182" w:line="240" w:lineRule="exact"/>
        <w:jc w:val="both"/>
        <w:rPr>
          <w:rStyle w:val="25"/>
        </w:rPr>
      </w:pPr>
    </w:p>
    <w:p w:rsidR="0073643D" w:rsidRDefault="0073643D">
      <w:pPr>
        <w:pStyle w:val="20"/>
        <w:shd w:val="clear" w:color="auto" w:fill="auto"/>
        <w:spacing w:before="0" w:after="182" w:line="240" w:lineRule="exact"/>
        <w:jc w:val="both"/>
        <w:rPr>
          <w:rStyle w:val="25"/>
        </w:rPr>
      </w:pPr>
      <w:r>
        <w:rPr>
          <w:noProof/>
          <w:lang w:bidi="ar-SA"/>
        </w:rPr>
        <w:drawing>
          <wp:anchor distT="0" distB="0" distL="114300" distR="114300" simplePos="0" relativeHeight="377489171" behindDoc="0" locked="0" layoutInCell="1" allowOverlap="1" wp14:anchorId="148E93C6" wp14:editId="3CC7BDF0">
            <wp:simplePos x="904875" y="-257175"/>
            <wp:positionH relativeFrom="margin">
              <wp:align>left</wp:align>
            </wp:positionH>
            <wp:positionV relativeFrom="margin">
              <wp:align>top</wp:align>
            </wp:positionV>
            <wp:extent cx="1276350" cy="1276350"/>
            <wp:effectExtent l="0" t="0" r="0" b="0"/>
            <wp:wrapSquare wrapText="bothSides"/>
            <wp:docPr id="6" name="Рисунок 6" descr="C:\Users\SvetlanaArcadievna\Pictures\Уральская сеть\лого бфргт для вор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Arcadievna\Pictures\Уральская сеть\лого бфргт для ворд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43D" w:rsidRDefault="0073643D" w:rsidP="00482267">
      <w:pPr>
        <w:pStyle w:val="20"/>
        <w:shd w:val="clear" w:color="auto" w:fill="auto"/>
        <w:spacing w:before="0" w:after="182" w:line="240" w:lineRule="exact"/>
        <w:jc w:val="both"/>
        <w:rPr>
          <w:rStyle w:val="25"/>
        </w:rPr>
      </w:pPr>
      <w:r>
        <w:rPr>
          <w:noProof/>
          <w:lang w:bidi="ar-SA"/>
        </w:rPr>
        <w:drawing>
          <wp:anchor distT="0" distB="0" distL="114300" distR="114300" simplePos="0" relativeHeight="377490195" behindDoc="0" locked="0" layoutInCell="1" allowOverlap="1" wp14:anchorId="55CE8411" wp14:editId="6EAD5EE2">
            <wp:simplePos x="2295525" y="304800"/>
            <wp:positionH relativeFrom="margin">
              <wp:align>right</wp:align>
            </wp:positionH>
            <wp:positionV relativeFrom="margin">
              <wp:align>top</wp:align>
            </wp:positionV>
            <wp:extent cx="2057400" cy="981075"/>
            <wp:effectExtent l="0" t="0" r="0" b="0"/>
            <wp:wrapSquare wrapText="bothSides"/>
            <wp:docPr id="7" name="Рисунок 7" descr="C:\Users\SvetlanaArcadievna\Pictures\Уральская сеть\лого фпг для вор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Arcadievna\Pictures\Уральская сеть\лого фпг для ворд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43D" w:rsidRDefault="0073643D" w:rsidP="00482267">
      <w:pPr>
        <w:pStyle w:val="20"/>
        <w:shd w:val="clear" w:color="auto" w:fill="auto"/>
        <w:spacing w:before="0" w:after="182" w:line="240" w:lineRule="exact"/>
        <w:jc w:val="both"/>
        <w:rPr>
          <w:rStyle w:val="25"/>
        </w:rPr>
      </w:pPr>
    </w:p>
    <w:p w:rsidR="00BC11E7" w:rsidRDefault="009F5427" w:rsidP="00482267">
      <w:pPr>
        <w:pStyle w:val="20"/>
        <w:shd w:val="clear" w:color="auto" w:fill="auto"/>
        <w:spacing w:before="0" w:after="182" w:line="240" w:lineRule="exact"/>
        <w:jc w:val="both"/>
        <w:rPr>
          <w:rStyle w:val="25"/>
          <w:rFonts w:asciiTheme="minorHAnsi" w:hAnsiTheme="minorHAnsi"/>
          <w:b/>
        </w:rPr>
      </w:pPr>
      <w:r w:rsidRPr="00482267">
        <w:rPr>
          <w:rStyle w:val="25"/>
          <w:rFonts w:asciiTheme="minorHAnsi" w:hAnsiTheme="minorHAnsi"/>
          <w:b/>
        </w:rPr>
        <w:t xml:space="preserve">От Ресурсных Центров для НКО к Центрам развития местных сообществ </w:t>
      </w:r>
      <w:proofErr w:type="spellStart"/>
      <w:r w:rsidRPr="00482267">
        <w:rPr>
          <w:rStyle w:val="25"/>
          <w:rFonts w:asciiTheme="minorHAnsi" w:hAnsiTheme="minorHAnsi"/>
          <w:b/>
        </w:rPr>
        <w:t>УрФО</w:t>
      </w:r>
      <w:proofErr w:type="spellEnd"/>
    </w:p>
    <w:p w:rsidR="008D1EA8" w:rsidRPr="008D1EA8" w:rsidRDefault="008D1EA8" w:rsidP="008D1EA8">
      <w:pPr>
        <w:pStyle w:val="20"/>
        <w:shd w:val="clear" w:color="auto" w:fill="auto"/>
        <w:spacing w:before="0" w:after="182" w:line="240" w:lineRule="exact"/>
        <w:jc w:val="right"/>
        <w:rPr>
          <w:rStyle w:val="25"/>
          <w:rFonts w:asciiTheme="minorHAnsi" w:hAnsiTheme="minorHAnsi"/>
        </w:rPr>
      </w:pPr>
      <w:r w:rsidRPr="008D1EA8">
        <w:rPr>
          <w:rStyle w:val="25"/>
          <w:rFonts w:asciiTheme="minorHAnsi" w:hAnsiTheme="minorHAnsi"/>
        </w:rPr>
        <w:t>Проект – побе</w:t>
      </w:r>
      <w:bookmarkStart w:id="0" w:name="_GoBack"/>
      <w:bookmarkEnd w:id="0"/>
      <w:r w:rsidRPr="008D1EA8">
        <w:rPr>
          <w:rStyle w:val="25"/>
          <w:rFonts w:asciiTheme="minorHAnsi" w:hAnsiTheme="minorHAnsi"/>
        </w:rPr>
        <w:t>дитель конкурса Фонда президентских грантов</w:t>
      </w:r>
    </w:p>
    <w:p w:rsidR="008D1EA8" w:rsidRPr="008D1EA8" w:rsidRDefault="008D1EA8" w:rsidP="008D1EA8">
      <w:pPr>
        <w:pStyle w:val="20"/>
        <w:shd w:val="clear" w:color="auto" w:fill="auto"/>
        <w:spacing w:before="0" w:after="182" w:line="240" w:lineRule="exact"/>
        <w:jc w:val="right"/>
        <w:rPr>
          <w:rStyle w:val="25"/>
          <w:rFonts w:asciiTheme="minorHAnsi" w:hAnsiTheme="minorHAnsi"/>
        </w:rPr>
      </w:pPr>
      <w:r w:rsidRPr="008D1EA8">
        <w:rPr>
          <w:rStyle w:val="25"/>
          <w:rFonts w:asciiTheme="minorHAnsi" w:hAnsiTheme="minorHAnsi"/>
        </w:rPr>
        <w:t xml:space="preserve">Руководитель проекта </w:t>
      </w:r>
      <w:proofErr w:type="spellStart"/>
      <w:r w:rsidRPr="008D1EA8">
        <w:rPr>
          <w:rStyle w:val="25"/>
          <w:rFonts w:asciiTheme="minorHAnsi" w:hAnsiTheme="minorHAnsi"/>
        </w:rPr>
        <w:t>Барова</w:t>
      </w:r>
      <w:proofErr w:type="spellEnd"/>
      <w:r w:rsidRPr="008D1EA8">
        <w:rPr>
          <w:rStyle w:val="25"/>
          <w:rFonts w:asciiTheme="minorHAnsi" w:hAnsiTheme="minorHAnsi"/>
        </w:rPr>
        <w:t xml:space="preserve"> Вера Владимировна</w:t>
      </w:r>
    </w:p>
    <w:p w:rsidR="0073643D" w:rsidRPr="00482267" w:rsidRDefault="0073643D" w:rsidP="00482267">
      <w:pPr>
        <w:pStyle w:val="20"/>
        <w:shd w:val="clear" w:color="auto" w:fill="auto"/>
        <w:tabs>
          <w:tab w:val="left" w:pos="303"/>
        </w:tabs>
        <w:spacing w:before="0" w:after="10" w:line="240" w:lineRule="exact"/>
        <w:jc w:val="both"/>
        <w:rPr>
          <w:rFonts w:asciiTheme="minorHAnsi" w:hAnsiTheme="minorHAnsi"/>
          <w:u w:val="single"/>
        </w:rPr>
      </w:pPr>
      <w:r w:rsidRPr="00482267">
        <w:rPr>
          <w:rStyle w:val="24"/>
          <w:rFonts w:asciiTheme="minorHAnsi" w:hAnsiTheme="minorHAnsi"/>
          <w:u w:val="single"/>
        </w:rPr>
        <w:t>География проекта:</w:t>
      </w:r>
    </w:p>
    <w:p w:rsidR="0073643D" w:rsidRPr="00482267" w:rsidRDefault="0073643D" w:rsidP="00482267">
      <w:pPr>
        <w:pStyle w:val="20"/>
        <w:shd w:val="clear" w:color="auto" w:fill="auto"/>
        <w:spacing w:before="0" w:after="158"/>
        <w:jc w:val="both"/>
        <w:rPr>
          <w:rStyle w:val="25"/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>6 регионов Уральского федерального округа - Курганская, Свердловская, Тюменская, Челябинская области, Ханты-Мансийский автономный округ - Югра, Ямало-Ненецкий автономный округ</w:t>
      </w:r>
    </w:p>
    <w:p w:rsidR="00482267" w:rsidRPr="00482267" w:rsidRDefault="00482267" w:rsidP="00482267">
      <w:pPr>
        <w:pStyle w:val="20"/>
        <w:shd w:val="clear" w:color="auto" w:fill="auto"/>
        <w:spacing w:before="0" w:after="158"/>
        <w:jc w:val="both"/>
        <w:rPr>
          <w:rStyle w:val="25"/>
          <w:rFonts w:asciiTheme="minorHAnsi" w:hAnsiTheme="minorHAnsi"/>
          <w:u w:val="single"/>
        </w:rPr>
      </w:pPr>
      <w:r w:rsidRPr="00482267">
        <w:rPr>
          <w:rStyle w:val="25"/>
          <w:rFonts w:asciiTheme="minorHAnsi" w:hAnsiTheme="minorHAnsi"/>
          <w:u w:val="single"/>
        </w:rPr>
        <w:t>Целевые группы</w:t>
      </w:r>
    </w:p>
    <w:p w:rsidR="00482267" w:rsidRPr="00482267" w:rsidRDefault="00482267" w:rsidP="00482267">
      <w:pPr>
        <w:pStyle w:val="20"/>
        <w:numPr>
          <w:ilvl w:val="0"/>
          <w:numId w:val="37"/>
        </w:numPr>
        <w:spacing w:before="120" w:line="240" w:lineRule="auto"/>
        <w:ind w:left="714" w:hanging="357"/>
        <w:jc w:val="both"/>
        <w:rPr>
          <w:rFonts w:asciiTheme="minorHAnsi" w:hAnsiTheme="minorHAnsi"/>
        </w:rPr>
      </w:pPr>
      <w:r w:rsidRPr="00482267">
        <w:rPr>
          <w:rFonts w:asciiTheme="minorHAnsi" w:hAnsiTheme="minorHAnsi"/>
        </w:rPr>
        <w:t xml:space="preserve">Некоммерческие организации и инициативные группы 6 регионов </w:t>
      </w:r>
      <w:proofErr w:type="spellStart"/>
      <w:r w:rsidRPr="00482267">
        <w:rPr>
          <w:rFonts w:asciiTheme="minorHAnsi" w:hAnsiTheme="minorHAnsi"/>
        </w:rPr>
        <w:t>УрФО</w:t>
      </w:r>
      <w:proofErr w:type="spellEnd"/>
      <w:r w:rsidRPr="00482267">
        <w:rPr>
          <w:rFonts w:asciiTheme="minorHAnsi" w:hAnsiTheme="minorHAnsi"/>
        </w:rPr>
        <w:t xml:space="preserve"> </w:t>
      </w:r>
    </w:p>
    <w:p w:rsidR="00482267" w:rsidRPr="00482267" w:rsidRDefault="00482267" w:rsidP="00482267">
      <w:pPr>
        <w:pStyle w:val="20"/>
        <w:numPr>
          <w:ilvl w:val="0"/>
          <w:numId w:val="37"/>
        </w:numPr>
        <w:spacing w:before="120" w:line="240" w:lineRule="auto"/>
        <w:ind w:left="714" w:hanging="357"/>
        <w:jc w:val="both"/>
        <w:rPr>
          <w:rFonts w:asciiTheme="minorHAnsi" w:hAnsiTheme="minorHAnsi"/>
        </w:rPr>
      </w:pPr>
      <w:r w:rsidRPr="00482267">
        <w:rPr>
          <w:rFonts w:asciiTheme="minorHAnsi" w:hAnsiTheme="minorHAnsi"/>
        </w:rPr>
        <w:t xml:space="preserve">некоммерческие неправительственные организации, оказывающие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 в 6 регионах Уральского ФО </w:t>
      </w:r>
    </w:p>
    <w:p w:rsidR="00482267" w:rsidRPr="00482267" w:rsidRDefault="00482267" w:rsidP="00482267">
      <w:pPr>
        <w:pStyle w:val="20"/>
        <w:numPr>
          <w:ilvl w:val="0"/>
          <w:numId w:val="37"/>
        </w:numPr>
        <w:spacing w:before="120" w:line="240" w:lineRule="auto"/>
        <w:ind w:left="714" w:hanging="357"/>
        <w:jc w:val="both"/>
        <w:rPr>
          <w:rFonts w:asciiTheme="minorHAnsi" w:hAnsiTheme="minorHAnsi"/>
        </w:rPr>
      </w:pPr>
      <w:r w:rsidRPr="00482267">
        <w:rPr>
          <w:rFonts w:asciiTheme="minorHAnsi" w:hAnsiTheme="minorHAnsi"/>
        </w:rPr>
        <w:t xml:space="preserve">органы власти и местного самоуправления 6 регионов </w:t>
      </w:r>
      <w:proofErr w:type="spellStart"/>
      <w:r w:rsidRPr="00482267">
        <w:rPr>
          <w:rFonts w:asciiTheme="minorHAnsi" w:hAnsiTheme="minorHAnsi"/>
        </w:rPr>
        <w:t>УрФО</w:t>
      </w:r>
      <w:proofErr w:type="spellEnd"/>
      <w:r w:rsidRPr="00482267">
        <w:rPr>
          <w:rFonts w:asciiTheme="minorHAnsi" w:hAnsiTheme="minorHAnsi"/>
        </w:rPr>
        <w:t>, уполномоченные по реализации программ поддержки СО НКО</w:t>
      </w:r>
    </w:p>
    <w:p w:rsidR="0073643D" w:rsidRPr="00482267" w:rsidRDefault="0073643D" w:rsidP="00482267">
      <w:pPr>
        <w:pStyle w:val="20"/>
        <w:shd w:val="clear" w:color="auto" w:fill="auto"/>
        <w:tabs>
          <w:tab w:val="left" w:pos="303"/>
        </w:tabs>
        <w:spacing w:before="120" w:line="240" w:lineRule="auto"/>
        <w:jc w:val="both"/>
        <w:rPr>
          <w:rFonts w:asciiTheme="minorHAnsi" w:hAnsiTheme="minorHAnsi"/>
          <w:u w:val="single"/>
        </w:rPr>
      </w:pPr>
      <w:r w:rsidRPr="00482267">
        <w:rPr>
          <w:rStyle w:val="24"/>
          <w:rFonts w:asciiTheme="minorHAnsi" w:hAnsiTheme="minorHAnsi"/>
          <w:u w:val="single"/>
        </w:rPr>
        <w:t>Сроки реализации</w:t>
      </w:r>
    </w:p>
    <w:p w:rsidR="0073643D" w:rsidRPr="00482267" w:rsidRDefault="0073643D" w:rsidP="00482267">
      <w:pPr>
        <w:pStyle w:val="20"/>
        <w:shd w:val="clear" w:color="auto" w:fill="auto"/>
        <w:spacing w:before="0" w:line="240" w:lineRule="exact"/>
        <w:jc w:val="both"/>
        <w:rPr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>01.11.2018 - 31.10.2021</w:t>
      </w:r>
    </w:p>
    <w:p w:rsidR="00482267" w:rsidRPr="008D1EA8" w:rsidRDefault="0073643D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  <w:b/>
        </w:rPr>
      </w:pPr>
      <w:r w:rsidRPr="00482267">
        <w:rPr>
          <w:rStyle w:val="a"/>
          <w:rFonts w:asciiTheme="minorHAnsi" w:hAnsiTheme="minorHAnsi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5427" w:rsidRPr="008D1EA8">
        <w:rPr>
          <w:rStyle w:val="25"/>
          <w:rFonts w:asciiTheme="minorHAnsi" w:hAnsiTheme="minorHAnsi"/>
          <w:b/>
        </w:rPr>
        <w:t xml:space="preserve">В целях содействия усилению роли некоммерческого сектора в развитии местных сообществ с участием граждан Уральская сеть продолжает деятельность по поддержке местных НКО, расширяет географию и формы поддержки гражданского участия в решении местных вопросов. </w:t>
      </w:r>
    </w:p>
    <w:p w:rsidR="00482267" w:rsidRPr="008D1EA8" w:rsidRDefault="00482267" w:rsidP="00482267">
      <w:pPr>
        <w:pStyle w:val="20"/>
        <w:spacing w:before="120"/>
        <w:jc w:val="both"/>
        <w:rPr>
          <w:rStyle w:val="25"/>
          <w:rFonts w:asciiTheme="minorHAnsi" w:hAnsiTheme="minorHAnsi"/>
          <w:u w:val="single"/>
        </w:rPr>
      </w:pPr>
      <w:r w:rsidRPr="008D1EA8">
        <w:rPr>
          <w:rStyle w:val="25"/>
          <w:rFonts w:asciiTheme="minorHAnsi" w:hAnsiTheme="minorHAnsi"/>
          <w:u w:val="single"/>
        </w:rPr>
        <w:t>Задача 1. Подготовка и переподготовка сотрудников ресурсных центров, поддерживающих НКО организаций к работе в формате Центров общественного развития (ЦОР)</w:t>
      </w:r>
    </w:p>
    <w:p w:rsidR="0073643D" w:rsidRPr="00482267" w:rsidRDefault="009F542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</w:rPr>
      </w:pPr>
      <w:proofErr w:type="gramStart"/>
      <w:r w:rsidRPr="00482267">
        <w:rPr>
          <w:rStyle w:val="25"/>
          <w:rFonts w:asciiTheme="minorHAnsi" w:hAnsiTheme="minorHAnsi"/>
        </w:rPr>
        <w:t xml:space="preserve">17 региональных и муниципальных РЦ пройдут подготовку к работе в формате Центров общественного развития с индивидуальным экспертным сопровождением, участвуя в стажировках, межрегиональных и российских конференциях, </w:t>
      </w:r>
      <w:proofErr w:type="spellStart"/>
      <w:r w:rsidRPr="00482267">
        <w:rPr>
          <w:rStyle w:val="25"/>
          <w:rFonts w:asciiTheme="minorHAnsi" w:hAnsiTheme="minorHAnsi"/>
        </w:rPr>
        <w:t>форсайт</w:t>
      </w:r>
      <w:proofErr w:type="spellEnd"/>
      <w:r w:rsidRPr="00482267">
        <w:rPr>
          <w:rStyle w:val="25"/>
          <w:rFonts w:asciiTheme="minorHAnsi" w:hAnsiTheme="minorHAnsi"/>
        </w:rPr>
        <w:t>-сессиях по изучению и внедрению моделей поддержки гражданской активности: фондов местных сообществ, соседских центров, школ и центров активного горожанина, территориального самоуправления и др. 55 сотрудников РЦ создадут сообщество профессионалов Уральской сети, объединенных территорией, профессией и</w:t>
      </w:r>
      <w:proofErr w:type="gramEnd"/>
      <w:r w:rsidRPr="00482267">
        <w:rPr>
          <w:rStyle w:val="25"/>
          <w:rFonts w:asciiTheme="minorHAnsi" w:hAnsiTheme="minorHAnsi"/>
        </w:rPr>
        <w:t xml:space="preserve"> совместной деятельностью по поддержке гражданских инициатив.</w:t>
      </w:r>
    </w:p>
    <w:p w:rsidR="008D1EA8" w:rsidRPr="008D1EA8" w:rsidRDefault="00482267" w:rsidP="008D1EA8">
      <w:pPr>
        <w:pStyle w:val="20"/>
        <w:spacing w:before="120"/>
        <w:jc w:val="both"/>
        <w:rPr>
          <w:rStyle w:val="25"/>
          <w:rFonts w:asciiTheme="minorHAnsi" w:hAnsiTheme="minorHAnsi"/>
          <w:u w:val="single"/>
        </w:rPr>
      </w:pPr>
      <w:r w:rsidRPr="008D1EA8">
        <w:rPr>
          <w:rStyle w:val="25"/>
          <w:rFonts w:asciiTheme="minorHAnsi" w:hAnsiTheme="minorHAnsi"/>
          <w:u w:val="single"/>
        </w:rPr>
        <w:t xml:space="preserve">Задача 2. </w:t>
      </w:r>
      <w:r w:rsidR="008D1EA8" w:rsidRPr="008D1EA8">
        <w:rPr>
          <w:rStyle w:val="25"/>
          <w:rFonts w:asciiTheme="minorHAnsi" w:hAnsiTheme="minorHAnsi"/>
          <w:u w:val="single"/>
        </w:rPr>
        <w:t>Объединение местных НКО, инициативных групп граждан, оказание консультационных, образовательных, информационных, технических услуг на базе региональных и муниципальных РЦ, ЦОР</w:t>
      </w:r>
    </w:p>
    <w:p w:rsidR="00BC11E7" w:rsidRPr="00482267" w:rsidRDefault="009F5427" w:rsidP="008D1EA8">
      <w:pPr>
        <w:pStyle w:val="20"/>
        <w:shd w:val="clear" w:color="auto" w:fill="auto"/>
        <w:spacing w:before="120" w:line="240" w:lineRule="auto"/>
        <w:jc w:val="both"/>
        <w:rPr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 xml:space="preserve">Местные НКО, инициативные группы граждан примут участие в 54 </w:t>
      </w:r>
      <w:proofErr w:type="gramStart"/>
      <w:r w:rsidRPr="00482267">
        <w:rPr>
          <w:rStyle w:val="25"/>
          <w:rFonts w:asciiTheme="minorHAnsi" w:hAnsiTheme="minorHAnsi"/>
        </w:rPr>
        <w:t>тренинг-семинарах</w:t>
      </w:r>
      <w:proofErr w:type="gramEnd"/>
      <w:r w:rsidRPr="00482267">
        <w:rPr>
          <w:rStyle w:val="25"/>
          <w:rFonts w:asciiTheme="minorHAnsi" w:hAnsiTheme="minorHAnsi"/>
        </w:rPr>
        <w:t>, информационных встречах, круглых столах, заседаниях клубов лидеров НКО в территориях. На базе муниципальных, региональных РЦ за три года будет предоставлено 1820 обучающих, 6300 консультационных услуг. В проведении коалиционных благотворительных акций, координируемых членами сети, примут участие не менее 12000 жителей: добровольцев и благотворителей. На поддержку 150 социальных проектов будет направлено более 12 млн. руб. средств местного бизнеса и муниципальных бюджетов.</w:t>
      </w:r>
    </w:p>
    <w:p w:rsidR="008D1EA8" w:rsidRPr="008D1EA8" w:rsidRDefault="0048226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  <w:u w:val="single"/>
        </w:rPr>
      </w:pPr>
      <w:r w:rsidRPr="008D1EA8">
        <w:rPr>
          <w:rStyle w:val="25"/>
          <w:rFonts w:asciiTheme="minorHAnsi" w:hAnsiTheme="minorHAnsi"/>
          <w:u w:val="single"/>
        </w:rPr>
        <w:lastRenderedPageBreak/>
        <w:t xml:space="preserve">Задача 3. </w:t>
      </w:r>
      <w:r w:rsidR="008D1EA8" w:rsidRPr="008D1EA8">
        <w:rPr>
          <w:rStyle w:val="25"/>
          <w:rFonts w:asciiTheme="minorHAnsi" w:hAnsiTheme="minorHAnsi"/>
          <w:u w:val="single"/>
        </w:rPr>
        <w:tab/>
        <w:t xml:space="preserve">Распространение практик межсекторного взаимодействия и общественного участия в развитии местных сообществ. </w:t>
      </w:r>
    </w:p>
    <w:p w:rsidR="00BC11E7" w:rsidRPr="00482267" w:rsidRDefault="009F5427" w:rsidP="00482267">
      <w:pPr>
        <w:pStyle w:val="20"/>
        <w:shd w:val="clear" w:color="auto" w:fill="auto"/>
        <w:spacing w:before="120" w:line="240" w:lineRule="auto"/>
        <w:jc w:val="both"/>
        <w:rPr>
          <w:rFonts w:asciiTheme="minorHAnsi" w:hAnsiTheme="minorHAnsi"/>
        </w:rPr>
      </w:pPr>
      <w:proofErr w:type="gramStart"/>
      <w:r w:rsidRPr="00482267">
        <w:rPr>
          <w:rStyle w:val="25"/>
          <w:rFonts w:asciiTheme="minorHAnsi" w:hAnsiTheme="minorHAnsi"/>
        </w:rPr>
        <w:t>Взаимодействуя с органами региональной власти и местного самоуправления ресурсные центры инициируют и участвуют</w:t>
      </w:r>
      <w:proofErr w:type="gramEnd"/>
      <w:r w:rsidRPr="00482267">
        <w:rPr>
          <w:rStyle w:val="25"/>
          <w:rFonts w:asciiTheme="minorHAnsi" w:hAnsiTheme="minorHAnsi"/>
        </w:rPr>
        <w:t xml:space="preserve"> во внедрении муниципальных программ и конкурсных механизмов поддержки СО НКО, обсудят вопросы гражданского участия в решении местных вопросов на межрегиональной конференции Уральской сети. Уральская сеть РЦ для НКО продолжит подготовку местных НКО к оказанию услуг в социальной сфере, оказание комплекса информационной, консультационной, методической и финансовой поддержки. Пилотные РЦ, работающие как Центры общественного развития, окажут содействие во внедрении технологий общественного участия в других муниципалитетах </w:t>
      </w:r>
      <w:proofErr w:type="spellStart"/>
      <w:r w:rsidRPr="00482267">
        <w:rPr>
          <w:rStyle w:val="25"/>
          <w:rFonts w:asciiTheme="minorHAnsi" w:hAnsiTheme="minorHAnsi"/>
        </w:rPr>
        <w:t>УрФО</w:t>
      </w:r>
      <w:proofErr w:type="spellEnd"/>
      <w:r w:rsidRPr="00482267">
        <w:rPr>
          <w:rStyle w:val="25"/>
          <w:rFonts w:asciiTheme="minorHAnsi" w:hAnsiTheme="minorHAnsi"/>
        </w:rPr>
        <w:t>.</w:t>
      </w:r>
    </w:p>
    <w:p w:rsidR="00BC11E7" w:rsidRPr="00482267" w:rsidRDefault="009F5427" w:rsidP="00482267">
      <w:pPr>
        <w:pStyle w:val="20"/>
        <w:shd w:val="clear" w:color="auto" w:fill="auto"/>
        <w:tabs>
          <w:tab w:val="left" w:pos="308"/>
        </w:tabs>
        <w:spacing w:before="120" w:line="240" w:lineRule="auto"/>
        <w:jc w:val="both"/>
        <w:rPr>
          <w:rFonts w:asciiTheme="minorHAnsi" w:hAnsiTheme="minorHAnsi"/>
          <w:u w:val="single"/>
        </w:rPr>
      </w:pPr>
      <w:r w:rsidRPr="00482267">
        <w:rPr>
          <w:rStyle w:val="24"/>
          <w:rFonts w:asciiTheme="minorHAnsi" w:hAnsiTheme="minorHAnsi"/>
          <w:u w:val="single"/>
        </w:rPr>
        <w:t>Обоснование социальной значимости проекта:</w:t>
      </w:r>
    </w:p>
    <w:p w:rsidR="008D1EA8" w:rsidRDefault="009F542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 xml:space="preserve">Программа создания Уральской сети ресурсных центров для СО НКО с 2011 года прошла уже несколько этапов: от простой трансляции опыта БФРГТ по созданию и организации работы РЦ мы пришли к формированию команды профессионалов, объединенных общим видением, навыками, методиками взаимодействия с активными гражданами. </w:t>
      </w:r>
    </w:p>
    <w:p w:rsidR="008D1EA8" w:rsidRDefault="009F542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 xml:space="preserve">Уральская сеть РЦ для СО НКО включает 34 муниципальных и региональных организаций, оказывающих комплекс услуг местным НКО, способствующих объединению ресурсов, расширению практики взаимодействия НКО и органов власти, развитию региональных и принятию муниципальных программ поддержки СО НКО. </w:t>
      </w:r>
    </w:p>
    <w:p w:rsidR="008D1EA8" w:rsidRDefault="009F542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</w:rPr>
      </w:pPr>
      <w:r w:rsidRPr="00482267">
        <w:rPr>
          <w:rStyle w:val="25"/>
          <w:rFonts w:asciiTheme="minorHAnsi" w:hAnsiTheme="minorHAnsi"/>
        </w:rPr>
        <w:t>В 2017</w:t>
      </w:r>
      <w:r w:rsidR="008D1EA8">
        <w:rPr>
          <w:rStyle w:val="25"/>
          <w:rFonts w:asciiTheme="minorHAnsi" w:hAnsiTheme="minorHAnsi"/>
        </w:rPr>
        <w:t>-</w:t>
      </w:r>
      <w:r w:rsidRPr="00482267">
        <w:rPr>
          <w:rStyle w:val="25"/>
          <w:rFonts w:asciiTheme="minorHAnsi" w:hAnsiTheme="minorHAnsi"/>
        </w:rPr>
        <w:softHyphen/>
        <w:t>18</w:t>
      </w:r>
      <w:r w:rsidR="008D1EA8">
        <w:rPr>
          <w:rStyle w:val="25"/>
          <w:rFonts w:asciiTheme="minorHAnsi" w:hAnsiTheme="minorHAnsi"/>
        </w:rPr>
        <w:t>г</w:t>
      </w:r>
      <w:r w:rsidRPr="00482267">
        <w:rPr>
          <w:rStyle w:val="25"/>
          <w:rFonts w:asciiTheme="minorHAnsi" w:hAnsiTheme="minorHAnsi"/>
        </w:rPr>
        <w:t xml:space="preserve">г. Уральская сеть определила вектором объединение ресурсов региональных и муниципальных программ поддержки СО НКО, создавая и поддерживая муниципальные РЦ. Отмечается нацеленность на </w:t>
      </w:r>
      <w:proofErr w:type="spellStart"/>
      <w:r w:rsidRPr="00482267">
        <w:rPr>
          <w:rStyle w:val="25"/>
          <w:rFonts w:asciiTheme="minorHAnsi" w:hAnsiTheme="minorHAnsi"/>
        </w:rPr>
        <w:t>институциализацию</w:t>
      </w:r>
      <w:proofErr w:type="spellEnd"/>
      <w:r w:rsidRPr="00482267">
        <w:rPr>
          <w:rStyle w:val="25"/>
          <w:rFonts w:asciiTheme="minorHAnsi" w:hAnsiTheme="minorHAnsi"/>
        </w:rPr>
        <w:t xml:space="preserve"> гражданского общества, за период реализации программы количество НКО на тыс. жителей </w:t>
      </w:r>
      <w:proofErr w:type="spellStart"/>
      <w:r w:rsidRPr="00482267">
        <w:rPr>
          <w:rStyle w:val="25"/>
          <w:rFonts w:asciiTheme="minorHAnsi" w:hAnsiTheme="minorHAnsi"/>
        </w:rPr>
        <w:t>УрФО</w:t>
      </w:r>
      <w:proofErr w:type="spellEnd"/>
      <w:r w:rsidRPr="00482267">
        <w:rPr>
          <w:rStyle w:val="25"/>
          <w:rFonts w:asciiTheme="minorHAnsi" w:hAnsiTheme="minorHAnsi"/>
        </w:rPr>
        <w:t xml:space="preserve"> выросло с 1,0 до 1,32 (в целом по РФ до 1,5 НКО). </w:t>
      </w:r>
      <w:proofErr w:type="gramStart"/>
      <w:r w:rsidRPr="00482267">
        <w:rPr>
          <w:rStyle w:val="25"/>
          <w:rFonts w:asciiTheme="minorHAnsi" w:hAnsiTheme="minorHAnsi"/>
        </w:rPr>
        <w:t xml:space="preserve">Значительные изменения в инфраструктуре поддержки СО НКО отмечены в Тюменской области, где помимо региональной принято 6 муниципальных программ, созданы и поддерживаются специализированные региональные центры; в ХМАО-Югра действует на средства бюджета Центр гражданских и социальных инициатив; Фондом президентских грантов поддержана деятельность Уральской сети, Региональных РЦ Курганской, Челябинской областей. </w:t>
      </w:r>
      <w:proofErr w:type="gramEnd"/>
    </w:p>
    <w:p w:rsidR="00BC11E7" w:rsidRPr="00482267" w:rsidRDefault="009F5427" w:rsidP="00482267">
      <w:pPr>
        <w:pStyle w:val="20"/>
        <w:shd w:val="clear" w:color="auto" w:fill="auto"/>
        <w:spacing w:before="120" w:line="240" w:lineRule="auto"/>
        <w:jc w:val="both"/>
        <w:rPr>
          <w:rFonts w:asciiTheme="minorHAnsi" w:hAnsiTheme="minorHAnsi"/>
        </w:rPr>
      </w:pPr>
      <w:proofErr w:type="gramStart"/>
      <w:r w:rsidRPr="00482267">
        <w:rPr>
          <w:rStyle w:val="25"/>
          <w:rFonts w:asciiTheme="minorHAnsi" w:hAnsiTheme="minorHAnsi"/>
        </w:rPr>
        <w:t>Продолжая расширение географии присутствия на муниципалитеты, Уральская сеть нацелена на становление Ресурсных центров как Центров общественного развития, внедрение в территориях технологий работы Фондов местных сообществ, Соседских центров, Школ активного горожанина, Центров активных людей, общественно-активных школ, органов территориального самоуправления, практик самоорганизации граждан и др. Результат может дать только системная долгосрочная работа, которая шаг за шагом, позволит укрепить позиции каждого ресурсного центра</w:t>
      </w:r>
      <w:proofErr w:type="gramEnd"/>
      <w:r w:rsidRPr="00482267">
        <w:rPr>
          <w:rStyle w:val="25"/>
          <w:rFonts w:asciiTheme="minorHAnsi" w:hAnsiTheme="minorHAnsi"/>
        </w:rPr>
        <w:t>, открыть новое видение некоммерческого сектора и общественного участия, профессионально взаимодействовать с органами власти, которые являются исполнителями государственной политики в направлении поддержки НКО.</w:t>
      </w:r>
    </w:p>
    <w:p w:rsidR="00482267" w:rsidRPr="00482267" w:rsidRDefault="00482267" w:rsidP="00482267">
      <w:pPr>
        <w:pStyle w:val="20"/>
        <w:shd w:val="clear" w:color="auto" w:fill="auto"/>
        <w:spacing w:before="120" w:line="240" w:lineRule="auto"/>
        <w:jc w:val="both"/>
        <w:rPr>
          <w:rStyle w:val="25"/>
          <w:rFonts w:asciiTheme="minorHAnsi" w:hAnsiTheme="minorHAnsi"/>
        </w:rPr>
      </w:pPr>
    </w:p>
    <w:sectPr w:rsidR="00482267" w:rsidRPr="00482267" w:rsidSect="00482267">
      <w:pgSz w:w="11900" w:h="16840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E" w:rsidRDefault="00FF099E">
      <w:r>
        <w:separator/>
      </w:r>
    </w:p>
  </w:endnote>
  <w:endnote w:type="continuationSeparator" w:id="0">
    <w:p w:rsidR="00FF099E" w:rsidRDefault="00F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E" w:rsidRDefault="00FF099E"/>
  </w:footnote>
  <w:footnote w:type="continuationSeparator" w:id="0">
    <w:p w:rsidR="00FF099E" w:rsidRDefault="00FF0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8C"/>
    <w:multiLevelType w:val="multilevel"/>
    <w:tmpl w:val="46BC1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74A15"/>
    <w:multiLevelType w:val="multilevel"/>
    <w:tmpl w:val="B8447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92BC6"/>
    <w:multiLevelType w:val="multilevel"/>
    <w:tmpl w:val="14EE5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F6DD6"/>
    <w:multiLevelType w:val="multilevel"/>
    <w:tmpl w:val="F2BCC696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71C99"/>
    <w:multiLevelType w:val="multilevel"/>
    <w:tmpl w:val="8E886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5663F"/>
    <w:multiLevelType w:val="multilevel"/>
    <w:tmpl w:val="88C8CA32"/>
    <w:lvl w:ilvl="0">
      <w:start w:val="2017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7792D"/>
    <w:multiLevelType w:val="multilevel"/>
    <w:tmpl w:val="F94A37C4"/>
    <w:lvl w:ilvl="0">
      <w:start w:val="2018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B72A20"/>
    <w:multiLevelType w:val="multilevel"/>
    <w:tmpl w:val="AC5E25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721441"/>
    <w:multiLevelType w:val="multilevel"/>
    <w:tmpl w:val="7B224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9E403D"/>
    <w:multiLevelType w:val="multilevel"/>
    <w:tmpl w:val="359063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B9745F"/>
    <w:multiLevelType w:val="multilevel"/>
    <w:tmpl w:val="3E90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07AF2"/>
    <w:multiLevelType w:val="multilevel"/>
    <w:tmpl w:val="B23E85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FA121E"/>
    <w:multiLevelType w:val="multilevel"/>
    <w:tmpl w:val="9BDE02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14A7C"/>
    <w:multiLevelType w:val="hybridMultilevel"/>
    <w:tmpl w:val="7A0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804C3"/>
    <w:multiLevelType w:val="multilevel"/>
    <w:tmpl w:val="B61E3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051E6C"/>
    <w:multiLevelType w:val="multilevel"/>
    <w:tmpl w:val="7BACF0F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06D26"/>
    <w:multiLevelType w:val="multilevel"/>
    <w:tmpl w:val="13ACF470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6267E"/>
    <w:multiLevelType w:val="multilevel"/>
    <w:tmpl w:val="F294C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4C1158"/>
    <w:multiLevelType w:val="hybridMultilevel"/>
    <w:tmpl w:val="252672D6"/>
    <w:lvl w:ilvl="0" w:tplc="7FAE9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7B6F"/>
    <w:multiLevelType w:val="multilevel"/>
    <w:tmpl w:val="2AFEB9B8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BE0AC3"/>
    <w:multiLevelType w:val="multilevel"/>
    <w:tmpl w:val="30A0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40C3B"/>
    <w:multiLevelType w:val="multilevel"/>
    <w:tmpl w:val="C632177A"/>
    <w:lvl w:ilvl="0">
      <w:start w:val="2016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96CD4"/>
    <w:multiLevelType w:val="multilevel"/>
    <w:tmpl w:val="A38A830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2332F"/>
    <w:multiLevelType w:val="multilevel"/>
    <w:tmpl w:val="96B2C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B418BA"/>
    <w:multiLevelType w:val="multilevel"/>
    <w:tmpl w:val="ADD4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C10315"/>
    <w:multiLevelType w:val="multilevel"/>
    <w:tmpl w:val="D6621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C5D19"/>
    <w:multiLevelType w:val="multilevel"/>
    <w:tmpl w:val="97FE9244"/>
    <w:lvl w:ilvl="0">
      <w:start w:val="2018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15E61"/>
    <w:multiLevelType w:val="multilevel"/>
    <w:tmpl w:val="0710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938D0"/>
    <w:multiLevelType w:val="multilevel"/>
    <w:tmpl w:val="797E4438"/>
    <w:lvl w:ilvl="0">
      <w:start w:val="2017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8B14D4"/>
    <w:multiLevelType w:val="multilevel"/>
    <w:tmpl w:val="917A9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F1B99"/>
    <w:multiLevelType w:val="multilevel"/>
    <w:tmpl w:val="DB52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FE633A"/>
    <w:multiLevelType w:val="multilevel"/>
    <w:tmpl w:val="E3CA6D86"/>
    <w:lvl w:ilvl="0">
      <w:start w:val="2016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B20B9A"/>
    <w:multiLevelType w:val="multilevel"/>
    <w:tmpl w:val="AF22381A"/>
    <w:lvl w:ilvl="0">
      <w:start w:val="2018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70FAB"/>
    <w:multiLevelType w:val="multilevel"/>
    <w:tmpl w:val="B23AC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C0EEB"/>
    <w:multiLevelType w:val="hybridMultilevel"/>
    <w:tmpl w:val="23E8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379CA"/>
    <w:multiLevelType w:val="multilevel"/>
    <w:tmpl w:val="27E4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B37CA7"/>
    <w:multiLevelType w:val="multilevel"/>
    <w:tmpl w:val="BCFE094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F86C8A"/>
    <w:multiLevelType w:val="multilevel"/>
    <w:tmpl w:val="7352B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451B2"/>
    <w:multiLevelType w:val="multilevel"/>
    <w:tmpl w:val="C3029658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8"/>
  </w:num>
  <w:num w:numId="5">
    <w:abstractNumId w:val="23"/>
  </w:num>
  <w:num w:numId="6">
    <w:abstractNumId w:val="10"/>
  </w:num>
  <w:num w:numId="7">
    <w:abstractNumId w:val="30"/>
  </w:num>
  <w:num w:numId="8">
    <w:abstractNumId w:val="37"/>
  </w:num>
  <w:num w:numId="9">
    <w:abstractNumId w:val="33"/>
  </w:num>
  <w:num w:numId="10">
    <w:abstractNumId w:val="27"/>
  </w:num>
  <w:num w:numId="11">
    <w:abstractNumId w:val="16"/>
  </w:num>
  <w:num w:numId="12">
    <w:abstractNumId w:val="1"/>
  </w:num>
  <w:num w:numId="13">
    <w:abstractNumId w:val="0"/>
  </w:num>
  <w:num w:numId="14">
    <w:abstractNumId w:val="4"/>
  </w:num>
  <w:num w:numId="15">
    <w:abstractNumId w:val="14"/>
  </w:num>
  <w:num w:numId="16">
    <w:abstractNumId w:val="29"/>
  </w:num>
  <w:num w:numId="17">
    <w:abstractNumId w:val="35"/>
  </w:num>
  <w:num w:numId="18">
    <w:abstractNumId w:val="2"/>
  </w:num>
  <w:num w:numId="19">
    <w:abstractNumId w:val="15"/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36"/>
  </w:num>
  <w:num w:numId="25">
    <w:abstractNumId w:val="28"/>
  </w:num>
  <w:num w:numId="26">
    <w:abstractNumId w:val="21"/>
  </w:num>
  <w:num w:numId="27">
    <w:abstractNumId w:val="5"/>
  </w:num>
  <w:num w:numId="28">
    <w:abstractNumId w:val="26"/>
  </w:num>
  <w:num w:numId="29">
    <w:abstractNumId w:val="32"/>
  </w:num>
  <w:num w:numId="30">
    <w:abstractNumId w:val="31"/>
  </w:num>
  <w:num w:numId="31">
    <w:abstractNumId w:val="6"/>
  </w:num>
  <w:num w:numId="32">
    <w:abstractNumId w:val="38"/>
  </w:num>
  <w:num w:numId="33">
    <w:abstractNumId w:val="12"/>
  </w:num>
  <w:num w:numId="34">
    <w:abstractNumId w:val="7"/>
  </w:num>
  <w:num w:numId="35">
    <w:abstractNumId w:val="17"/>
  </w:num>
  <w:num w:numId="36">
    <w:abstractNumId w:val="11"/>
  </w:num>
  <w:num w:numId="37">
    <w:abstractNumId w:val="3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11E7"/>
    <w:rsid w:val="003068A7"/>
    <w:rsid w:val="003D2129"/>
    <w:rsid w:val="00482267"/>
    <w:rsid w:val="0073643D"/>
    <w:rsid w:val="008D1EA8"/>
    <w:rsid w:val="009F5427"/>
    <w:rsid w:val="00AB74B1"/>
    <w:rsid w:val="00BC11E7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w w:val="10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hanging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32" w:lineRule="exac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entury Gothic" w:eastAsia="Century Gothic" w:hAnsi="Century Gothic" w:cs="Century Gothic"/>
      <w:b/>
      <w:bCs/>
      <w:i/>
      <w:iCs/>
      <w:sz w:val="21"/>
      <w:szCs w:val="2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30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7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Грантовый отдел БФРГТ</cp:lastModifiedBy>
  <cp:revision>3</cp:revision>
  <dcterms:created xsi:type="dcterms:W3CDTF">2018-11-12T10:31:00Z</dcterms:created>
  <dcterms:modified xsi:type="dcterms:W3CDTF">2018-11-12T10:54:00Z</dcterms:modified>
</cp:coreProperties>
</file>