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46" w:rsidRPr="00144D46" w:rsidRDefault="00144D46" w:rsidP="00144D46">
      <w:pPr>
        <w:rPr>
          <w:rFonts w:ascii="Arial" w:hAnsi="Arial" w:cs="Arial"/>
          <w:b/>
        </w:rPr>
      </w:pPr>
      <w:r w:rsidRPr="00144D46">
        <w:rPr>
          <w:rFonts w:ascii="Arial" w:hAnsi="Arial" w:cs="Arial"/>
          <w:b/>
        </w:rPr>
        <w:t>Методические рекомендации Экспертно-аналитического центра при Общественной палате Российской Федерации для НКО, претендующих на статус ИОПУ, АСИ представляет впервые.</w:t>
      </w:r>
    </w:p>
    <w:p w:rsidR="00144D46" w:rsidRPr="00144D46" w:rsidRDefault="00144D46" w:rsidP="00144D46">
      <w:pPr>
        <w:rPr>
          <w:rFonts w:ascii="Arial" w:hAnsi="Arial" w:cs="Arial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Президент Российской Федерации Владимир Владимирович Путин в 2015 – 2016 годах в ежегодных посланиях Федеральному Собранию отметил важность вопроса поддержки некоммерческих организаций, зарекомендовавших себя как безупречные партнеры государства, и указал на необходимость установления правового статуса «некоммерческая организация – исполнитель общественно полезных услуг», разработки всей необходимой нормативно–правовой базы.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В 2016 году был принят ряд федеральных законов, направленных на установление указанного статуса и правовой основы для оказания таким организациям поддержки со стороны государства.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Президент Российской Федерации своим Указом утвердил приоритетные направления деятельности в сфере оказания общественно полезных услуг, Правительство Российской Федерации на их основе утвердило перечень общественно полезных услуг, критерии оценки качества оказания общественно полезных услуг и порядок признания организаций исполнителями общественно полезных услуг.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I. ОБЩИЕ ПОЛОЖЕНИЯ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1.1. Какими нормативными правовыми актами регулируются правоотношения в сфере признания некоммерческой организации исполнителем общественно полезных услуг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1) Федеральный закон от 12 января 1996 года № 7–ФЗ «О некоммерческих организациях» (статья 31.4);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2) Указ Президента Российской Федерации от 8 августа 2016 года № 398 «Об утверждении приоритетных направлений деятельности в сфере оказания общественно полезных услуг»;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3) постановление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4) постановление Правительства Российской Федерации от 26 января 2017 года № 89 «О реестре некоммерческих организаций – исполнителей общественно полезных услуг»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1.2. Какая организация может быть признана исполнителем общественно полезных услуг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1) Исполнителем общественно полезных услуг может быть признана социально ориентированная некоммерческая организация, которая отвечает следующим требованиям: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на протяжении одного года и более оказывает общественно полезные услуги надлежащего качества;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не является НКО, выполняющей функции иностранного агента;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не имеет задолженности по налогам и сборам, иным, предусмотренным законодательством Российской Федерации, обязательным платежам (например, платежи во внебюджетные фонды).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1.3. Какие услуги могут быть признаны общественно полезными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Перечень общественно полезных услуг утвержден постановлением Правительства Российской Федерации от 27 октября 2016 года № 1096.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Перечень услуг достаточно обширен. К примеру, это услуги в сфере: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предоставления социального обслуживания на дому, а также в стационарной и полустационарной форме;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содействия в вопросах трудоустройства;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реабилитации и социальной адаптации инвалидов и детей–инвалидов;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 xml:space="preserve">– социальной помощи и социального сопровождения детей, инвалидов, граждан пожилого возраста, лиц, </w:t>
      </w:r>
      <w:proofErr w:type="gramStart"/>
      <w:r w:rsidRPr="00144D46">
        <w:rPr>
          <w:rFonts w:ascii="Arial" w:hAnsi="Arial" w:cs="Arial"/>
          <w:sz w:val="20"/>
          <w:szCs w:val="20"/>
        </w:rPr>
        <w:t>находящимся</w:t>
      </w:r>
      <w:proofErr w:type="gramEnd"/>
      <w:r w:rsidRPr="00144D46">
        <w:rPr>
          <w:rFonts w:ascii="Arial" w:hAnsi="Arial" w:cs="Arial"/>
          <w:sz w:val="20"/>
          <w:szCs w:val="20"/>
        </w:rPr>
        <w:t xml:space="preserve"> в трудной жизненной ситуации;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профилактики безнадзорности и правонарушений несовершеннолетних;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профилактики социального сиротства и социального сопровождения семей для предотвращения отказа от новорожденного ребенка, сокращения случаев лишения родительских прав и профилактики отказа родителей от воспитания своих детей;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социальной адаптации и семейного устройства детей, оставшихся без попечения родителей;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организации отдыха и оздоровления детей;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дошкольного и общего образования, дополнительного образования детей;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дополнительного образования граждан пожилого возраста и инвалидов, в том числе услуги обучения навыкам компьютерной грамотности;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профилактики социально значимых заболеваний, курения, алкоголизма, наркомании;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144D46">
        <w:rPr>
          <w:rFonts w:ascii="Arial" w:hAnsi="Arial" w:cs="Arial"/>
          <w:sz w:val="20"/>
          <w:szCs w:val="20"/>
        </w:rPr>
        <w:t>медико–социального</w:t>
      </w:r>
      <w:proofErr w:type="gramEnd"/>
      <w:r w:rsidRPr="00144D46">
        <w:rPr>
          <w:rFonts w:ascii="Arial" w:hAnsi="Arial" w:cs="Arial"/>
          <w:sz w:val="20"/>
          <w:szCs w:val="20"/>
        </w:rPr>
        <w:t xml:space="preserve"> сопровождения лиц, страдающих тяжелыми заболеваниями, и лиц, нуждающихся в медицинской паллиативной помощи;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144D46">
        <w:rPr>
          <w:rFonts w:ascii="Arial" w:hAnsi="Arial" w:cs="Arial"/>
          <w:sz w:val="20"/>
          <w:szCs w:val="20"/>
        </w:rPr>
        <w:t>медико–социальной</w:t>
      </w:r>
      <w:proofErr w:type="gramEnd"/>
      <w:r w:rsidRPr="00144D46">
        <w:rPr>
          <w:rFonts w:ascii="Arial" w:hAnsi="Arial" w:cs="Arial"/>
          <w:sz w:val="20"/>
          <w:szCs w:val="20"/>
        </w:rPr>
        <w:t xml:space="preserve"> реабилитации лиц с алкогольной, наркотической или иной токсической зависимостью;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физической культуры и массового спорта.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lastRenderedPageBreak/>
        <w:t>1.4. Каков алгоритм действий некоммерческой организации при получении статуса исполнителя общественно полезных услуг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Организация должна получить заключение о соответствии качества оказываемых ею общественно полезных услуг установленным критериям в федеральных органах исполнительной власти, осуществляющих оценку качества общественно полезных услуг установленным критериям качества (подробнее см. раздел II);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После получения заключения о соответствии качества оказываемых общественно полезных услуг установленным критериям организации необходимо обратиться с заявлением о признании исполнителем общественно полезных услуг в Минюст России (или его территориальный орган) (подробнее см. раздел III).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1.5. На какой срок организация признается исполнителем общественно полезных услуг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Организация признается Минюстом России исполнителем общественно полезных услуг и включается в реестр некоммерческих организаций – исполнителей общественно полезных услуг сроком на 2 года.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По истечении 2 лет со дня получения такого статуса организация исключается из реестра некоммерческих организаций – исполнителей общественно полезных услуг.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1.6. Какие привилегии предоставляет некоммерческой организации статус исполнителя общественно полезных услуг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proofErr w:type="gramStart"/>
      <w:r w:rsidRPr="00144D46">
        <w:rPr>
          <w:rFonts w:ascii="Arial" w:hAnsi="Arial" w:cs="Arial"/>
          <w:sz w:val="20"/>
          <w:szCs w:val="20"/>
        </w:rPr>
        <w:t>Некоммерческая организация, признанная исполнителем общественно полезных услуг, включается в реестр некоммерческих организаций – исполнителей общественно полезных услуг и наделяется правом на приоритетное получение мер поддержки в прядке, установленном федеральными законами, иными нормативными правовыми актами Российской Федерации, а также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proofErr w:type="gramEnd"/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Такая поддержка будет оказываться некоммерческим организациям, признанным исполнителями общественно полезных услуг, не менее 2 лет.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1.7. Какие меры государственной поддержки предусмотрены для социально ориентированных некоммерческих организаций в соответствии с федеральным законодательством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Формы государственной поддержки социально ориентированных некоммерческих организаций определены в статье 311 Федерального закона от 12 января 1996 года № 7–ФЗ «О некоммерческих организациях».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Одной из наиболее востребованных мер государственной поддержки является предоставление бюджетных субсидий из всех уровней бюджетов бюджетной системы Российской Федерации.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 xml:space="preserve">Также такие организации смогут претендовать </w:t>
      </w:r>
      <w:proofErr w:type="gramStart"/>
      <w:r w:rsidRPr="00144D46">
        <w:rPr>
          <w:rFonts w:ascii="Arial" w:hAnsi="Arial" w:cs="Arial"/>
          <w:sz w:val="20"/>
          <w:szCs w:val="20"/>
        </w:rPr>
        <w:t>на</w:t>
      </w:r>
      <w:proofErr w:type="gramEnd"/>
      <w:r w:rsidRPr="00144D46">
        <w:rPr>
          <w:rFonts w:ascii="Arial" w:hAnsi="Arial" w:cs="Arial"/>
          <w:sz w:val="20"/>
          <w:szCs w:val="20"/>
        </w:rPr>
        <w:t>: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1) получение во владение и (или) в пользование государственного или муниципального имущества;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proofErr w:type="gramStart"/>
      <w:r w:rsidRPr="00144D46">
        <w:rPr>
          <w:rFonts w:ascii="Arial" w:hAnsi="Arial" w:cs="Arial"/>
          <w:sz w:val="20"/>
          <w:szCs w:val="20"/>
        </w:rPr>
        <w:t>2) использование бесплатного эфирного времени на государственных и муниципальных теле– и радиоканалах, бесплатной печатной площади в государственных и муниципальных периодических печатных изданиях, а также на размещение своих информационных материалов некоммерческой организации в информационно–телекоммуникационной сети «Интернет»;</w:t>
      </w:r>
      <w:proofErr w:type="gramEnd"/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3) организацию государственными органами и органами местного самоуправления курсов повышения квалификации и обучающих мероприятий для работников и добровольцев таких организаций.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Субъекты Российской Федерации и муниципальные образования наряду с перечисленными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II ЗАКЛЮЧЕНИЕ О СООТВЕТСТВИИ КАЧЕСТВА ОКАЗЫВАЕМЫХ ОРГАНИЗАЦИЕЙ ОБЩЕСТВЕННО ПОЛЕЗНЫХ УСЛУГ УСТАНОВЛЕННЫМ КРИТЕРИЯМ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2.1. Какие действия необходимо предпринять и куда нужно обратиться для получения статуса исполнителя общественно полезных услуг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В целях получения такого статуса организация должна доказать, что оказываемые ею услуги соответствуют критериям оценки качества оказания общественно полезных услуг, которые утверждены постановлением Правительства РФ от 27 октября 2016 года № 1096.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 xml:space="preserve">Для этого необходимо обратиться с заявлением о выдаче заключения в федеральные органы исполнительной власти (их территориальные органы), которые осуществляют оценку качества. Перечень этих органов утвержден постановлением Правительства Российской Федерации от 26 января 2017 года № 89 (приложение № 3). В зависимости от сферы оказываемых услуг такое заключение выдается Минтрудом России, </w:t>
      </w:r>
      <w:proofErr w:type="spellStart"/>
      <w:r w:rsidRPr="00144D46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144D46">
        <w:rPr>
          <w:rFonts w:ascii="Arial" w:hAnsi="Arial" w:cs="Arial"/>
          <w:sz w:val="20"/>
          <w:szCs w:val="20"/>
        </w:rPr>
        <w:t xml:space="preserve"> России, Минкультуры России, </w:t>
      </w:r>
      <w:proofErr w:type="spellStart"/>
      <w:r w:rsidRPr="00144D46">
        <w:rPr>
          <w:rFonts w:ascii="Arial" w:hAnsi="Arial" w:cs="Arial"/>
          <w:sz w:val="20"/>
          <w:szCs w:val="20"/>
        </w:rPr>
        <w:t>Роспотребнадзором</w:t>
      </w:r>
      <w:proofErr w:type="spellEnd"/>
      <w:r w:rsidRPr="00144D46">
        <w:rPr>
          <w:rFonts w:ascii="Arial" w:hAnsi="Arial" w:cs="Arial"/>
          <w:sz w:val="20"/>
          <w:szCs w:val="20"/>
        </w:rPr>
        <w:t xml:space="preserve"> (территориальным органом </w:t>
      </w:r>
      <w:proofErr w:type="spellStart"/>
      <w:r w:rsidRPr="00144D46">
        <w:rPr>
          <w:rFonts w:ascii="Arial" w:hAnsi="Arial" w:cs="Arial"/>
          <w:sz w:val="20"/>
          <w:szCs w:val="20"/>
        </w:rPr>
        <w:t>Роспортебнадзора</w:t>
      </w:r>
      <w:proofErr w:type="spellEnd"/>
      <w:r w:rsidRPr="00144D46">
        <w:rPr>
          <w:rFonts w:ascii="Arial" w:hAnsi="Arial" w:cs="Arial"/>
          <w:sz w:val="20"/>
          <w:szCs w:val="20"/>
        </w:rPr>
        <w:t xml:space="preserve">), Минюстом России (территориальным органом Минюста России), Минздравом России, Ростуризмом, </w:t>
      </w:r>
      <w:proofErr w:type="spellStart"/>
      <w:r w:rsidRPr="00144D46">
        <w:rPr>
          <w:rFonts w:ascii="Arial" w:hAnsi="Arial" w:cs="Arial"/>
          <w:sz w:val="20"/>
          <w:szCs w:val="20"/>
        </w:rPr>
        <w:t>Рособрнадзором</w:t>
      </w:r>
      <w:proofErr w:type="spellEnd"/>
      <w:r w:rsidRPr="00144D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4D46">
        <w:rPr>
          <w:rFonts w:ascii="Arial" w:hAnsi="Arial" w:cs="Arial"/>
          <w:sz w:val="20"/>
          <w:szCs w:val="20"/>
        </w:rPr>
        <w:t>Минспортом</w:t>
      </w:r>
      <w:proofErr w:type="spellEnd"/>
      <w:r w:rsidRPr="00144D46">
        <w:rPr>
          <w:rFonts w:ascii="Arial" w:hAnsi="Arial" w:cs="Arial"/>
          <w:sz w:val="20"/>
          <w:szCs w:val="20"/>
        </w:rPr>
        <w:t xml:space="preserve"> России.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lastRenderedPageBreak/>
        <w:t>Если оценка качества осуществляется несколькими заинтересованными органами, обращение с заявлением во все эти органы не требуется. Достаточно обратиться в один из таких органов, а он, в свою очередь, истребует все необходимые сведения у иных заинтересованных органов.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 xml:space="preserve">По договоренности, достигнутой между федеральными органами исполнительной власти и органами исполнительной власти субъектов Российской Федерации,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(в зависимости от сферы оказываемых услуг) за получением документов, обосновывающих соответствие оказываемых организацией </w:t>
      </w:r>
      <w:proofErr w:type="gramStart"/>
      <w:r w:rsidRPr="00144D46">
        <w:rPr>
          <w:rFonts w:ascii="Arial" w:hAnsi="Arial" w:cs="Arial"/>
          <w:sz w:val="20"/>
          <w:szCs w:val="20"/>
        </w:rPr>
        <w:t>услуг</w:t>
      </w:r>
      <w:proofErr w:type="gramEnd"/>
      <w:r w:rsidRPr="00144D46">
        <w:rPr>
          <w:rFonts w:ascii="Arial" w:hAnsi="Arial" w:cs="Arial"/>
          <w:sz w:val="20"/>
          <w:szCs w:val="20"/>
        </w:rPr>
        <w:t xml:space="preserve"> установленным критериям оценки качества оказания общественно полезных услуг (справки, характеристики, экспертные заключения и другие).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 xml:space="preserve">2.2. В какой форме должно быть подано такое </w:t>
      </w:r>
      <w:proofErr w:type="gramStart"/>
      <w:r w:rsidRPr="00144D46">
        <w:rPr>
          <w:rFonts w:ascii="Arial" w:hAnsi="Arial" w:cs="Arial"/>
          <w:sz w:val="20"/>
          <w:szCs w:val="20"/>
        </w:rPr>
        <w:t>заявление</w:t>
      </w:r>
      <w:proofErr w:type="gramEnd"/>
      <w:r w:rsidRPr="00144D46">
        <w:rPr>
          <w:rFonts w:ascii="Arial" w:hAnsi="Arial" w:cs="Arial"/>
          <w:sz w:val="20"/>
          <w:szCs w:val="20"/>
        </w:rPr>
        <w:t xml:space="preserve"> и </w:t>
      </w:r>
      <w:proofErr w:type="gramStart"/>
      <w:r w:rsidRPr="00144D46">
        <w:rPr>
          <w:rFonts w:ascii="Arial" w:hAnsi="Arial" w:cs="Arial"/>
          <w:sz w:val="20"/>
          <w:szCs w:val="20"/>
        </w:rPr>
        <w:t>какие</w:t>
      </w:r>
      <w:proofErr w:type="gramEnd"/>
      <w:r w:rsidRPr="00144D46">
        <w:rPr>
          <w:rFonts w:ascii="Arial" w:hAnsi="Arial" w:cs="Arial"/>
          <w:sz w:val="20"/>
          <w:szCs w:val="20"/>
        </w:rPr>
        <w:t xml:space="preserve"> еще документы требуются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Заявление о выдаче заключения должно быть составлено в письменной форме. Заключение должно содержать обоснование соответствия оказываемых ею услуг установленным критериям оценки качества общественно полезных услуг, утвержденным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К указанному заявлению могут прилагаться: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 xml:space="preserve">– документы, обосновывающие соответствие оказываемых организацией </w:t>
      </w:r>
      <w:proofErr w:type="gramStart"/>
      <w:r w:rsidRPr="00144D46">
        <w:rPr>
          <w:rFonts w:ascii="Arial" w:hAnsi="Arial" w:cs="Arial"/>
          <w:sz w:val="20"/>
          <w:szCs w:val="20"/>
        </w:rPr>
        <w:t>услуг</w:t>
      </w:r>
      <w:proofErr w:type="gramEnd"/>
      <w:r w:rsidRPr="00144D46">
        <w:rPr>
          <w:rFonts w:ascii="Arial" w:hAnsi="Arial" w:cs="Arial"/>
          <w:sz w:val="20"/>
          <w:szCs w:val="20"/>
        </w:rPr>
        <w:t xml:space="preserve"> установленным критериям оценки качества (справки, характеристики, экспертные заключения и другие);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– документы, подтверждающие отсутствие задолженностей по налогам и сборам, иным обязательным платежам.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 xml:space="preserve">По договоренности, достигнутой между федеральными органами исполнительной власти и органами исполнительной власти субъектов Российской Федерации,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(в зависимости от сферы оказываемых услуг) за получением документов, обосновывающих соответствие оказываемых организацией </w:t>
      </w:r>
      <w:proofErr w:type="gramStart"/>
      <w:r w:rsidRPr="00144D46">
        <w:rPr>
          <w:rFonts w:ascii="Arial" w:hAnsi="Arial" w:cs="Arial"/>
          <w:sz w:val="20"/>
          <w:szCs w:val="20"/>
        </w:rPr>
        <w:t>услуг</w:t>
      </w:r>
      <w:proofErr w:type="gramEnd"/>
      <w:r w:rsidRPr="00144D46">
        <w:rPr>
          <w:rFonts w:ascii="Arial" w:hAnsi="Arial" w:cs="Arial"/>
          <w:sz w:val="20"/>
          <w:szCs w:val="20"/>
        </w:rPr>
        <w:t xml:space="preserve"> установленным критериям оценки качества оказания общественно полезных услуг (справки, характеристики, экспертные заключения и другие). Указанные документы организация вправе представить в качестве документов, подтверждающих качество оказываемых ею услуг, вместе с заявлением в соответствующий федеральный орган исполнительной власти.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2.3. Критерии оценки качества общественно полезных услуг: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 xml:space="preserve">Соответствие общественно полезной </w:t>
      </w:r>
      <w:proofErr w:type="gramStart"/>
      <w:r w:rsidRPr="00144D46">
        <w:rPr>
          <w:rFonts w:ascii="Arial" w:hAnsi="Arial" w:cs="Arial"/>
          <w:sz w:val="20"/>
          <w:szCs w:val="20"/>
        </w:rPr>
        <w:t>услуги</w:t>
      </w:r>
      <w:proofErr w:type="gramEnd"/>
      <w:r w:rsidRPr="00144D46">
        <w:rPr>
          <w:rFonts w:ascii="Arial" w:hAnsi="Arial" w:cs="Arial"/>
          <w:sz w:val="20"/>
          <w:szCs w:val="20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Наличие у лиц, непосредственно задействованных в исполнении общественно полезной услуги (в том числе работников некоммерческой организации – исполнителя общественно полезных услуг (далее – некоммерческая организация) и работников, привлеченных по договорам гражданско–правового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proofErr w:type="gramStart"/>
      <w:r w:rsidRPr="00144D46">
        <w:rPr>
          <w:rFonts w:ascii="Arial" w:hAnsi="Arial" w:cs="Arial"/>
          <w:sz w:val="20"/>
          <w:szCs w:val="20"/>
        </w:rP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Открытость и доступность информации о некоммерческой организации.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в течение 2 лет, предшествующих подаче заявления о включении в формируемый реестр некоммерческих организаций.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2.4. По каким основаниям организации может быть отказано в выдаче заключения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Основаниями для отказа в выдаче заключения являются: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а) несоответствие общественно полезной услуги установленным требованиям к ее содержанию (объем, сроки, качество предоставления);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б) отсутствие у лиц, непосредственно задействованных в исполнении общественно полезной услуги, необходимой квалификации, недостаточное количество лиц, у которых есть необходимая квалификация;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в) наличие в течение 2 лет, предшествующих выдаче заключения, жалоб на деятельность организации;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г) несоответствие уровня открытости и доступности информации об организации установленным требованиям;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lastRenderedPageBreak/>
        <w:t>д) наличие в течение 2 лет, предшествующих выдаче заключения, информации об организации в реестре недобросовестных поставщиков в рамках исполнения государственных контрактов;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е) наличие задолженностей по налогам и сборам, иным обязательным платежам.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2.5. В какой срок федеральными органами исполнительной власти, осуществляющими оценку качества общественно полезных услуг установленным критериям, должно быть выдано заключение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Заключение должно быть выдано в течение 30 дней. Этот срок может быть продлен в случае, если заинтересованный орган направит запросы в другие органы, но не более чем на 60 дней.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После получения заключения о соответствии качества услуг необходимо обратиться в Министерство юстиции Российской Федерации или в его территориальный орган по месту нахождения организации с заявлением о признании некоммерческой организации исполнителем общественно полезных услуг.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III. ОБРАЩЕНИЕ В МИНЮСТ РОССИИ С ЗАЯВЛЕНИЕМ О ПРИЗНАНИИ НЕКОММЕРЧЕСКОЙ ОРГАНИЗАЦИИ ИСПОЛНИТЕЛЕМ ОБЩЕСТВЕННО ПОЛЕЗНЫХ УСЛУГ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3.1. Какой орган исполнительной власти уполномочен принимать решение о признании некоммерческой организации исполнителем общественно полезных услуг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Решение о признании некоммерческой организации исполнителем общественно полезных услуг принимает Министерство юстиции Российской Федерации.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С заявлением о признании организации исполнителем общественно полезных услуг можно обратиться непосредственно в Минюст России или в его территориальный орган по месту нахождения организации.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3.2. Какие документы необходимо подать в Минюст России (его территориальный орган)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1) заявление о признании организации исполнителем общественно полезных услуг по форме, которая установлена постановлением Правительства Российской Федерации от 26 января 2017 года № 89 (форма приведена в приложении к настоящим методическим рекомендациям);</w:t>
      </w:r>
      <w:r w:rsidRPr="00144D46">
        <w:rPr>
          <w:rFonts w:ascii="Arial" w:hAnsi="Arial" w:cs="Arial"/>
          <w:sz w:val="20"/>
          <w:szCs w:val="20"/>
        </w:rPr>
        <w:cr/>
        <w:t>2) заключение о соответствии качества оказываемых организацией общественно полезных услуг установленным критериям.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3.3. По каким основаниям Минюст России может отказать в присвоении статуса исполнителя общественно полезных услуг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Основаниями для отказа в признании организации исполнителем общественно полезных услуг являются: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1) непредставление заключения о соответствии качества оказываемых организацией общественно полезных услуг установленным критериям;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2) включение организации в реестр некоммерческих организаций, выполняющих функции иностранного агента.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 xml:space="preserve">3.4. В </w:t>
      </w:r>
      <w:proofErr w:type="gramStart"/>
      <w:r w:rsidRPr="00144D46">
        <w:rPr>
          <w:rFonts w:ascii="Arial" w:hAnsi="Arial" w:cs="Arial"/>
          <w:sz w:val="20"/>
          <w:szCs w:val="20"/>
        </w:rPr>
        <w:t>течение</w:t>
      </w:r>
      <w:proofErr w:type="gramEnd"/>
      <w:r w:rsidRPr="00144D46">
        <w:rPr>
          <w:rFonts w:ascii="Arial" w:hAnsi="Arial" w:cs="Arial"/>
          <w:sz w:val="20"/>
          <w:szCs w:val="20"/>
        </w:rPr>
        <w:t xml:space="preserve"> какого срока Минюстом России принимается решение о признании организации исполнителем общественно полезных услуг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Если заявление подано непосредственно в Минюст России, то решение о признании организации исполнителем общественно полезных услуг либо при наличии оснований – об отказе – принимается Минюстом России в течение 5 дней со дня поступления документов от организации.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Если заявление подано в территориальный орган Минюста России, то при отсутствии оснований для отказа в течение 5 рабочих дней со дня поступления документов от организации территориальный орган Минюста России направляет эти документы в Минюст России для принятия решения о признании организации исполнителем общественно полезных услуг.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В случае выявления оснований для отказа территориальный орган Минюста России в течение 5 рабочих дней со дня поступления документов возвращает эти документы организации с указанием выявленных оснований для отказа в признании организации исполнителем общественно полезных услуг.</w:t>
      </w: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</w:p>
    <w:p w:rsidR="00144D46" w:rsidRPr="00144D46" w:rsidRDefault="00144D46" w:rsidP="00144D46">
      <w:pPr>
        <w:rPr>
          <w:rFonts w:ascii="Arial" w:hAnsi="Arial" w:cs="Arial"/>
          <w:sz w:val="20"/>
          <w:szCs w:val="20"/>
        </w:rPr>
      </w:pPr>
      <w:r w:rsidRPr="00144D46">
        <w:rPr>
          <w:rFonts w:ascii="Arial" w:hAnsi="Arial" w:cs="Arial"/>
          <w:sz w:val="20"/>
          <w:szCs w:val="20"/>
        </w:rPr>
        <w:t>3.5. Возможно ли повторное признание организации исполнителем общественно полезных услуг в упрощенном порядке</w:t>
      </w:r>
    </w:p>
    <w:p w:rsidR="00144D46" w:rsidRPr="00144D46" w:rsidRDefault="00144D46" w:rsidP="00144D46">
      <w:pPr>
        <w:rPr>
          <w:rFonts w:ascii="Arial" w:hAnsi="Arial" w:cs="Arial"/>
          <w:sz w:val="18"/>
          <w:szCs w:val="20"/>
        </w:rPr>
      </w:pPr>
      <w:r w:rsidRPr="00144D46">
        <w:rPr>
          <w:rFonts w:ascii="Arial" w:hAnsi="Arial" w:cs="Arial"/>
          <w:sz w:val="18"/>
          <w:szCs w:val="20"/>
        </w:rPr>
        <w:t>Да, такая возможность предусмотрена. По истечении 2 лет со дня внесения организации в реестр организация должна представить в Минюст России заявление о признании организации исполнителем общественно полезных услуг.</w:t>
      </w:r>
    </w:p>
    <w:p w:rsidR="00144D46" w:rsidRPr="00144D46" w:rsidRDefault="00144D46" w:rsidP="00144D46">
      <w:pPr>
        <w:rPr>
          <w:rFonts w:ascii="Arial" w:hAnsi="Arial" w:cs="Arial"/>
          <w:sz w:val="18"/>
          <w:szCs w:val="20"/>
        </w:rPr>
      </w:pPr>
      <w:r w:rsidRPr="00144D46">
        <w:rPr>
          <w:rFonts w:ascii="Arial" w:hAnsi="Arial" w:cs="Arial"/>
          <w:sz w:val="18"/>
          <w:szCs w:val="20"/>
        </w:rPr>
        <w:t>Указанное заявление должно быть представлено в течение 30 дней со дня истечения 2–летнего срока признания организации исполнителем общественно полезных услуг и внесения организации в реестр.</w:t>
      </w:r>
    </w:p>
    <w:p w:rsidR="00144D46" w:rsidRPr="00144D46" w:rsidRDefault="00144D46" w:rsidP="00144D46">
      <w:pPr>
        <w:rPr>
          <w:rFonts w:ascii="Arial" w:hAnsi="Arial" w:cs="Arial"/>
          <w:sz w:val="18"/>
          <w:szCs w:val="20"/>
        </w:rPr>
      </w:pPr>
      <w:r w:rsidRPr="00144D46">
        <w:rPr>
          <w:rFonts w:ascii="Arial" w:hAnsi="Arial" w:cs="Arial"/>
          <w:sz w:val="18"/>
          <w:szCs w:val="20"/>
        </w:rPr>
        <w:t>При повторном признании организации исполнителем общественно полезных услуг представление заключения о соответствии качества услуг установленным критериям не требуется.</w:t>
      </w:r>
    </w:p>
    <w:p w:rsidR="00144D46" w:rsidRPr="00144D46" w:rsidRDefault="00144D46" w:rsidP="00144D46">
      <w:pPr>
        <w:rPr>
          <w:rFonts w:ascii="Arial" w:hAnsi="Arial" w:cs="Arial"/>
          <w:sz w:val="18"/>
          <w:szCs w:val="20"/>
        </w:rPr>
      </w:pPr>
      <w:r w:rsidRPr="00144D46">
        <w:rPr>
          <w:rFonts w:ascii="Arial" w:hAnsi="Arial" w:cs="Arial"/>
          <w:sz w:val="18"/>
          <w:szCs w:val="20"/>
        </w:rPr>
        <w:t>По всем вопросам в связи с процедурой получения статуса ИОПУ можно обратиться с вопросом на электронный адрес nko@oprf.ru . А первый опыт региональных НКО по получению статуса ИОПУ будут отслеживать корреспонденты Агентства социальной информации.</w:t>
      </w:r>
    </w:p>
    <w:p w:rsidR="00CB652A" w:rsidRPr="00144D46" w:rsidRDefault="00144D46" w:rsidP="00144D46">
      <w:pPr>
        <w:spacing w:line="240" w:lineRule="auto"/>
        <w:rPr>
          <w:rFonts w:ascii="Arial" w:hAnsi="Arial" w:cs="Arial"/>
          <w:sz w:val="18"/>
          <w:szCs w:val="20"/>
        </w:rPr>
      </w:pPr>
      <w:r w:rsidRPr="00144D46">
        <w:rPr>
          <w:rFonts w:ascii="Arial" w:hAnsi="Arial" w:cs="Arial"/>
          <w:sz w:val="18"/>
          <w:szCs w:val="20"/>
        </w:rPr>
        <w:t>Форму заявления в Министерство юстиции России о признании социально ориентированной некоммерческой организации исполнителем общественно полезных услуг можно скачать здесь.</w:t>
      </w:r>
    </w:p>
    <w:sectPr w:rsidR="00CB652A" w:rsidRPr="00144D46" w:rsidSect="00144D46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21"/>
    <w:rsid w:val="00144D46"/>
    <w:rsid w:val="00696F21"/>
    <w:rsid w:val="00C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Ustinova</dc:creator>
  <cp:lastModifiedBy>Olga Ustinova</cp:lastModifiedBy>
  <cp:revision>2</cp:revision>
  <cp:lastPrinted>2017-03-17T06:45:00Z</cp:lastPrinted>
  <dcterms:created xsi:type="dcterms:W3CDTF">2017-03-17T06:45:00Z</dcterms:created>
  <dcterms:modified xsi:type="dcterms:W3CDTF">2017-03-17T06:45:00Z</dcterms:modified>
</cp:coreProperties>
</file>